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8287">
      <w:pPr>
        <w:widowControl/>
        <w:jc w:val="center"/>
        <w:rPr>
          <w:rFonts w:hint="eastAsia" w:ascii="黑体" w:hAnsi="黑体" w:eastAsia="黑体" w:cs="黑体"/>
          <w:b/>
          <w:bCs/>
          <w:color w:val="auto"/>
          <w:kern w:val="0"/>
          <w:sz w:val="36"/>
          <w:szCs w:val="36"/>
          <w:highlight w:val="none"/>
          <w:shd w:val="clear" w:color="auto" w:fill="FFFFFF"/>
        </w:rPr>
      </w:pPr>
      <w:r>
        <w:rPr>
          <w:rFonts w:hint="eastAsia" w:ascii="黑体" w:hAnsi="黑体" w:eastAsia="黑体" w:cs="黑体"/>
          <w:b/>
          <w:bCs/>
          <w:color w:val="auto"/>
          <w:kern w:val="0"/>
          <w:sz w:val="36"/>
          <w:szCs w:val="36"/>
          <w:highlight w:val="none"/>
          <w:shd w:val="clear" w:color="auto" w:fill="FFFFFF"/>
        </w:rPr>
        <w:t>吉林省工程技师学院职业技能等级认定中心</w:t>
      </w:r>
    </w:p>
    <w:p w14:paraId="721D5614">
      <w:pPr>
        <w:widowControl/>
        <w:jc w:val="center"/>
        <w:rPr>
          <w:rFonts w:hint="eastAsia" w:ascii="黑体" w:hAnsi="黑体" w:eastAsia="黑体" w:cs="黑体"/>
          <w:b/>
          <w:bCs/>
          <w:color w:val="auto"/>
          <w:kern w:val="0"/>
          <w:sz w:val="36"/>
          <w:szCs w:val="36"/>
          <w:highlight w:val="none"/>
          <w:shd w:val="clear" w:color="auto" w:fill="FFFFFF"/>
        </w:rPr>
      </w:pPr>
      <w:r>
        <w:rPr>
          <w:rFonts w:hint="eastAsia" w:ascii="黑体" w:hAnsi="黑体" w:eastAsia="黑体" w:cs="黑体"/>
          <w:b/>
          <w:bCs/>
          <w:color w:val="auto"/>
          <w:kern w:val="0"/>
          <w:sz w:val="36"/>
          <w:szCs w:val="36"/>
          <w:highlight w:val="none"/>
          <w:shd w:val="clear" w:color="auto" w:fill="FFFFFF"/>
        </w:rPr>
        <w:t>202</w:t>
      </w:r>
      <w:r>
        <w:rPr>
          <w:rFonts w:hint="eastAsia" w:ascii="黑体" w:hAnsi="黑体" w:eastAsia="黑体" w:cs="黑体"/>
          <w:b/>
          <w:bCs/>
          <w:color w:val="auto"/>
          <w:kern w:val="0"/>
          <w:sz w:val="36"/>
          <w:szCs w:val="36"/>
          <w:highlight w:val="none"/>
          <w:shd w:val="clear" w:color="auto" w:fill="FFFFFF"/>
          <w:lang w:val="en-US" w:eastAsia="zh-CN"/>
        </w:rPr>
        <w:t>4</w:t>
      </w:r>
      <w:r>
        <w:rPr>
          <w:rFonts w:hint="eastAsia" w:ascii="黑体" w:hAnsi="黑体" w:eastAsia="黑体" w:cs="黑体"/>
          <w:b/>
          <w:bCs/>
          <w:color w:val="auto"/>
          <w:kern w:val="0"/>
          <w:sz w:val="36"/>
          <w:szCs w:val="36"/>
          <w:highlight w:val="none"/>
          <w:shd w:val="clear" w:color="auto" w:fill="FFFFFF"/>
        </w:rPr>
        <w:t>年职业技能等级认定公告</w:t>
      </w:r>
    </w:p>
    <w:p w14:paraId="57BE23AC">
      <w:pPr>
        <w:widowControl/>
        <w:ind w:firstLine="600" w:firstLineChars="200"/>
        <w:rPr>
          <w:rFonts w:hint="eastAsia" w:ascii="仿宋" w:hAnsi="仿宋" w:eastAsia="仿宋" w:cs="仿宋"/>
          <w:color w:val="auto"/>
          <w:kern w:val="0"/>
          <w:sz w:val="30"/>
          <w:szCs w:val="30"/>
          <w:highlight w:val="none"/>
          <w:shd w:val="clear" w:color="auto" w:fill="FFFFFF"/>
        </w:rPr>
      </w:pPr>
    </w:p>
    <w:p w14:paraId="7A9B9F61">
      <w:pPr>
        <w:widowControl/>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shd w:val="clear" w:color="auto" w:fill="FFFFFF"/>
        </w:rPr>
        <w:t>根据国家人社部、省人社厅及吉林省工程技师学院职业技能等级认定中心关于职业技能等级认定的规定和要求，结合吉林省工程技师学院职业技能等级认定中心职业技能等级认定计划，现将202</w:t>
      </w:r>
      <w:r>
        <w:rPr>
          <w:rFonts w:hint="eastAsia" w:ascii="仿宋" w:hAnsi="仿宋" w:eastAsia="仿宋" w:cs="仿宋"/>
          <w:color w:val="auto"/>
          <w:kern w:val="0"/>
          <w:sz w:val="32"/>
          <w:szCs w:val="32"/>
          <w:highlight w:val="none"/>
          <w:shd w:val="clear" w:color="auto" w:fill="FFFFFF"/>
          <w:lang w:val="en-US" w:eastAsia="zh-CN"/>
        </w:rPr>
        <w:t>4</w:t>
      </w:r>
      <w:r>
        <w:rPr>
          <w:rFonts w:hint="eastAsia" w:ascii="仿宋" w:hAnsi="仿宋" w:eastAsia="仿宋" w:cs="仿宋"/>
          <w:color w:val="auto"/>
          <w:kern w:val="0"/>
          <w:sz w:val="32"/>
          <w:szCs w:val="32"/>
          <w:highlight w:val="none"/>
          <w:shd w:val="clear" w:color="auto" w:fill="FFFFFF"/>
        </w:rPr>
        <w:t>年职业技能等级认定相关事宜予以公告：</w:t>
      </w:r>
    </w:p>
    <w:p w14:paraId="3BAB980A">
      <w:pPr>
        <w:widowControl/>
        <w:spacing w:line="360" w:lineRule="auto"/>
        <w:ind w:firstLine="643" w:firstLineChars="200"/>
        <w:rPr>
          <w:rFonts w:hint="eastAsia" w:ascii="黑体" w:hAnsi="黑体" w:eastAsia="黑体" w:cs="黑体"/>
          <w:b/>
          <w:bCs/>
          <w:color w:val="auto"/>
          <w:kern w:val="0"/>
          <w:sz w:val="32"/>
          <w:szCs w:val="32"/>
          <w:highlight w:val="none"/>
          <w:lang w:val="en-US"/>
        </w:rPr>
      </w:pPr>
      <w:r>
        <w:rPr>
          <w:rFonts w:hint="eastAsia" w:ascii="黑体" w:hAnsi="黑体" w:eastAsia="黑体" w:cs="黑体"/>
          <w:b/>
          <w:bCs/>
          <w:color w:val="auto"/>
          <w:kern w:val="0"/>
          <w:sz w:val="32"/>
          <w:szCs w:val="32"/>
          <w:highlight w:val="none"/>
        </w:rPr>
        <w:t>一、</w:t>
      </w:r>
      <w:r>
        <w:rPr>
          <w:rFonts w:hint="eastAsia" w:ascii="黑体" w:hAnsi="黑体" w:eastAsia="黑体" w:cs="黑体"/>
          <w:b/>
          <w:bCs/>
          <w:color w:val="auto"/>
          <w:sz w:val="32"/>
          <w:szCs w:val="32"/>
          <w:highlight w:val="none"/>
          <w:lang w:eastAsia="zh-CN"/>
        </w:rPr>
        <w:t>认</w:t>
      </w:r>
      <w:r>
        <w:rPr>
          <w:rFonts w:hint="eastAsia" w:ascii="黑体" w:hAnsi="黑体" w:eastAsia="黑体" w:cs="黑体"/>
          <w:b/>
          <w:bCs/>
          <w:color w:val="auto"/>
          <w:sz w:val="32"/>
          <w:szCs w:val="32"/>
          <w:highlight w:val="none"/>
        </w:rPr>
        <w:t>定</w:t>
      </w:r>
      <w:r>
        <w:rPr>
          <w:rFonts w:hint="eastAsia" w:ascii="黑体" w:hAnsi="黑体" w:eastAsia="黑体" w:cs="黑体"/>
          <w:b/>
          <w:bCs/>
          <w:color w:val="auto"/>
          <w:sz w:val="32"/>
          <w:szCs w:val="32"/>
          <w:highlight w:val="none"/>
          <w:lang w:eastAsia="zh-CN"/>
        </w:rPr>
        <w:t>职业（</w:t>
      </w:r>
      <w:r>
        <w:rPr>
          <w:rFonts w:hint="eastAsia" w:ascii="黑体" w:hAnsi="黑体" w:eastAsia="黑体" w:cs="黑体"/>
          <w:b/>
          <w:bCs/>
          <w:color w:val="auto"/>
          <w:sz w:val="32"/>
          <w:szCs w:val="32"/>
          <w:highlight w:val="none"/>
        </w:rPr>
        <w:t>工种</w:t>
      </w:r>
      <w:r>
        <w:rPr>
          <w:rFonts w:hint="eastAsia" w:ascii="黑体" w:hAnsi="黑体" w:eastAsia="黑体" w:cs="黑体"/>
          <w:b/>
          <w:bCs/>
          <w:color w:val="auto"/>
          <w:sz w:val="32"/>
          <w:szCs w:val="32"/>
          <w:highlight w:val="none"/>
          <w:lang w:eastAsia="zh-CN"/>
        </w:rPr>
        <w:t>）、等级</w:t>
      </w:r>
    </w:p>
    <w:tbl>
      <w:tblPr>
        <w:tblStyle w:val="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031"/>
        <w:gridCol w:w="2185"/>
        <w:gridCol w:w="1575"/>
        <w:gridCol w:w="2742"/>
      </w:tblGrid>
      <w:tr w14:paraId="6352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12" w:type="dxa"/>
            <w:vAlign w:val="center"/>
          </w:tcPr>
          <w:p w14:paraId="57691BA5">
            <w:pPr>
              <w:widowControl/>
              <w:spacing w:line="360" w:lineRule="auto"/>
              <w:jc w:val="center"/>
              <w:rPr>
                <w:rFonts w:hint="eastAsia" w:ascii="仿宋" w:hAnsi="仿宋" w:eastAsia="仿宋" w:cs="仿宋"/>
                <w:b/>
                <w:bCs/>
                <w:color w:val="auto"/>
                <w:kern w:val="0"/>
                <w:sz w:val="28"/>
                <w:szCs w:val="28"/>
                <w:highlight w:val="none"/>
                <w:vertAlign w:val="baseline"/>
                <w:lang w:val="en-US" w:eastAsia="zh-CN"/>
              </w:rPr>
            </w:pPr>
            <w:r>
              <w:rPr>
                <w:rFonts w:hint="eastAsia" w:ascii="仿宋" w:hAnsi="仿宋" w:eastAsia="仿宋" w:cs="仿宋"/>
                <w:b/>
                <w:bCs/>
                <w:color w:val="auto"/>
                <w:kern w:val="0"/>
                <w:sz w:val="28"/>
                <w:szCs w:val="28"/>
                <w:highlight w:val="none"/>
                <w:vertAlign w:val="baseline"/>
                <w:lang w:val="en-US" w:eastAsia="zh-CN"/>
              </w:rPr>
              <w:t>序</w:t>
            </w:r>
          </w:p>
        </w:tc>
        <w:tc>
          <w:tcPr>
            <w:tcW w:w="2031" w:type="dxa"/>
            <w:vAlign w:val="center"/>
          </w:tcPr>
          <w:p w14:paraId="2C9C4DEF">
            <w:pPr>
              <w:widowControl/>
              <w:spacing w:line="360" w:lineRule="auto"/>
              <w:jc w:val="center"/>
              <w:rPr>
                <w:rFonts w:hint="eastAsia" w:ascii="仿宋" w:hAnsi="仿宋" w:eastAsia="仿宋" w:cs="仿宋"/>
                <w:b/>
                <w:bCs/>
                <w:color w:val="auto"/>
                <w:kern w:val="0"/>
                <w:sz w:val="28"/>
                <w:szCs w:val="28"/>
                <w:highlight w:val="none"/>
                <w:vertAlign w:val="baseline"/>
                <w:lang w:val="en-US" w:eastAsia="zh-CN"/>
              </w:rPr>
            </w:pPr>
            <w:r>
              <w:rPr>
                <w:rFonts w:hint="eastAsia" w:ascii="仿宋" w:hAnsi="仿宋" w:eastAsia="仿宋" w:cs="仿宋"/>
                <w:b/>
                <w:bCs/>
                <w:color w:val="auto"/>
                <w:kern w:val="0"/>
                <w:sz w:val="28"/>
                <w:szCs w:val="28"/>
                <w:highlight w:val="none"/>
                <w:vertAlign w:val="baseline"/>
                <w:lang w:val="en-US" w:eastAsia="zh-CN"/>
              </w:rPr>
              <w:t>职业编码</w:t>
            </w:r>
          </w:p>
        </w:tc>
        <w:tc>
          <w:tcPr>
            <w:tcW w:w="2185" w:type="dxa"/>
            <w:vAlign w:val="center"/>
          </w:tcPr>
          <w:p w14:paraId="1E80D419">
            <w:pPr>
              <w:widowControl/>
              <w:spacing w:line="360" w:lineRule="auto"/>
              <w:jc w:val="center"/>
              <w:rPr>
                <w:rFonts w:hint="eastAsia" w:ascii="仿宋" w:hAnsi="仿宋" w:eastAsia="仿宋" w:cs="仿宋"/>
                <w:b/>
                <w:bCs/>
                <w:color w:val="auto"/>
                <w:kern w:val="0"/>
                <w:sz w:val="28"/>
                <w:szCs w:val="28"/>
                <w:highlight w:val="none"/>
                <w:vertAlign w:val="baseline"/>
                <w:lang w:val="en-US" w:eastAsia="zh-CN"/>
              </w:rPr>
            </w:pPr>
            <w:r>
              <w:rPr>
                <w:rFonts w:hint="eastAsia" w:ascii="仿宋" w:hAnsi="仿宋" w:eastAsia="仿宋" w:cs="仿宋"/>
                <w:b/>
                <w:bCs/>
                <w:color w:val="auto"/>
                <w:kern w:val="0"/>
                <w:sz w:val="28"/>
                <w:szCs w:val="28"/>
                <w:highlight w:val="none"/>
                <w:vertAlign w:val="baseline"/>
                <w:lang w:val="en-US" w:eastAsia="zh-CN"/>
              </w:rPr>
              <w:t>职业名称</w:t>
            </w:r>
          </w:p>
        </w:tc>
        <w:tc>
          <w:tcPr>
            <w:tcW w:w="1575" w:type="dxa"/>
            <w:vAlign w:val="center"/>
          </w:tcPr>
          <w:p w14:paraId="79337AA7">
            <w:pPr>
              <w:widowControl/>
              <w:spacing w:line="360" w:lineRule="auto"/>
              <w:jc w:val="center"/>
              <w:rPr>
                <w:rFonts w:hint="eastAsia" w:ascii="仿宋" w:hAnsi="仿宋" w:eastAsia="仿宋" w:cs="仿宋"/>
                <w:b/>
                <w:bCs/>
                <w:color w:val="auto"/>
                <w:kern w:val="0"/>
                <w:sz w:val="28"/>
                <w:szCs w:val="28"/>
                <w:highlight w:val="none"/>
                <w:vertAlign w:val="baseline"/>
                <w:lang w:val="en-US" w:eastAsia="zh-CN"/>
              </w:rPr>
            </w:pPr>
            <w:r>
              <w:rPr>
                <w:rFonts w:hint="eastAsia" w:ascii="仿宋" w:hAnsi="仿宋" w:eastAsia="仿宋" w:cs="仿宋"/>
                <w:b/>
                <w:bCs/>
                <w:color w:val="auto"/>
                <w:kern w:val="0"/>
                <w:sz w:val="28"/>
                <w:szCs w:val="28"/>
                <w:highlight w:val="none"/>
                <w:vertAlign w:val="baseline"/>
                <w:lang w:val="en-US" w:eastAsia="zh-CN"/>
              </w:rPr>
              <w:t>级别</w:t>
            </w:r>
          </w:p>
        </w:tc>
        <w:tc>
          <w:tcPr>
            <w:tcW w:w="2742" w:type="dxa"/>
            <w:vAlign w:val="center"/>
          </w:tcPr>
          <w:p w14:paraId="0D6E4BDA">
            <w:pPr>
              <w:widowControl/>
              <w:spacing w:line="360" w:lineRule="auto"/>
              <w:jc w:val="center"/>
              <w:rPr>
                <w:rFonts w:hint="eastAsia" w:ascii="仿宋" w:hAnsi="仿宋" w:eastAsia="仿宋" w:cs="仿宋"/>
                <w:b/>
                <w:bCs/>
                <w:color w:val="auto"/>
                <w:kern w:val="0"/>
                <w:sz w:val="28"/>
                <w:szCs w:val="28"/>
                <w:highlight w:val="none"/>
                <w:vertAlign w:val="baseline"/>
                <w:lang w:val="en-US" w:eastAsia="zh-CN"/>
              </w:rPr>
            </w:pPr>
            <w:r>
              <w:rPr>
                <w:rFonts w:hint="eastAsia" w:ascii="仿宋" w:hAnsi="仿宋" w:eastAsia="仿宋" w:cs="仿宋"/>
                <w:b/>
                <w:bCs/>
                <w:color w:val="auto"/>
                <w:kern w:val="0"/>
                <w:sz w:val="28"/>
                <w:szCs w:val="28"/>
                <w:highlight w:val="none"/>
                <w:vertAlign w:val="baseline"/>
                <w:lang w:val="en-US" w:eastAsia="zh-CN"/>
              </w:rPr>
              <w:t>评定标准</w:t>
            </w:r>
          </w:p>
        </w:tc>
      </w:tr>
      <w:tr w14:paraId="2ECE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12" w:type="dxa"/>
            <w:vAlign w:val="center"/>
          </w:tcPr>
          <w:p w14:paraId="4EC206EB">
            <w:pPr>
              <w:widowControl/>
              <w:spacing w:line="360" w:lineRule="auto"/>
              <w:jc w:val="center"/>
              <w:rPr>
                <w:rFonts w:hint="eastAsia" w:ascii="仿宋" w:hAnsi="仿宋" w:eastAsia="仿宋" w:cs="仿宋"/>
                <w:b w:val="0"/>
                <w:bCs w:val="0"/>
                <w:color w:val="auto"/>
                <w:kern w:val="0"/>
                <w:sz w:val="28"/>
                <w:szCs w:val="28"/>
                <w:highlight w:val="none"/>
                <w:vertAlign w:val="baseline"/>
                <w:lang w:val="en-US" w:eastAsia="zh-CN"/>
              </w:rPr>
            </w:pPr>
            <w:r>
              <w:rPr>
                <w:rFonts w:hint="eastAsia" w:ascii="仿宋" w:hAnsi="仿宋" w:eastAsia="仿宋" w:cs="仿宋"/>
                <w:b w:val="0"/>
                <w:bCs w:val="0"/>
                <w:color w:val="auto"/>
                <w:kern w:val="0"/>
                <w:sz w:val="28"/>
                <w:szCs w:val="28"/>
                <w:highlight w:val="none"/>
                <w:vertAlign w:val="baseline"/>
                <w:lang w:val="en-US" w:eastAsia="zh-CN"/>
              </w:rPr>
              <w:t>1</w:t>
            </w:r>
          </w:p>
        </w:tc>
        <w:tc>
          <w:tcPr>
            <w:tcW w:w="2031" w:type="dxa"/>
            <w:vAlign w:val="center"/>
          </w:tcPr>
          <w:p w14:paraId="06F628C3">
            <w:pPr>
              <w:widowControl/>
              <w:spacing w:line="360" w:lineRule="auto"/>
              <w:jc w:val="center"/>
              <w:rPr>
                <w:rFonts w:hint="eastAsia" w:ascii="仿宋" w:hAnsi="仿宋" w:eastAsia="仿宋" w:cs="仿宋"/>
                <w:b w:val="0"/>
                <w:bCs w:val="0"/>
                <w:color w:val="auto"/>
                <w:kern w:val="0"/>
                <w:sz w:val="28"/>
                <w:szCs w:val="28"/>
                <w:highlight w:val="none"/>
                <w:vertAlign w:val="baseline"/>
                <w:lang w:val="en-US" w:eastAsia="zh-CN" w:bidi="ar-SA"/>
              </w:rPr>
            </w:pPr>
            <w:r>
              <w:rPr>
                <w:rFonts w:hint="eastAsia" w:ascii="仿宋" w:hAnsi="仿宋" w:eastAsia="仿宋" w:cs="仿宋"/>
                <w:b w:val="0"/>
                <w:bCs w:val="0"/>
                <w:color w:val="auto"/>
                <w:kern w:val="0"/>
                <w:sz w:val="28"/>
                <w:szCs w:val="28"/>
                <w:highlight w:val="none"/>
                <w:vertAlign w:val="baseline"/>
                <w:lang w:val="en-US" w:eastAsia="zh-CN"/>
              </w:rPr>
              <w:t>4-12-01-01</w:t>
            </w:r>
          </w:p>
        </w:tc>
        <w:tc>
          <w:tcPr>
            <w:tcW w:w="2185" w:type="dxa"/>
            <w:vAlign w:val="center"/>
          </w:tcPr>
          <w:p w14:paraId="1FC9A459">
            <w:pPr>
              <w:widowControl/>
              <w:spacing w:line="360" w:lineRule="auto"/>
              <w:jc w:val="center"/>
              <w:rPr>
                <w:rFonts w:hint="eastAsia" w:ascii="仿宋" w:hAnsi="仿宋" w:eastAsia="仿宋" w:cs="仿宋"/>
                <w:b w:val="0"/>
                <w:bCs w:val="0"/>
                <w:color w:val="auto"/>
                <w:kern w:val="0"/>
                <w:sz w:val="28"/>
                <w:szCs w:val="28"/>
                <w:highlight w:val="none"/>
                <w:vertAlign w:val="baseline"/>
                <w:lang w:val="en-US" w:eastAsia="zh-CN" w:bidi="ar-SA"/>
              </w:rPr>
            </w:pPr>
            <w:r>
              <w:rPr>
                <w:rFonts w:hint="eastAsia" w:ascii="仿宋" w:hAnsi="仿宋" w:eastAsia="仿宋" w:cs="仿宋"/>
                <w:color w:val="auto"/>
                <w:kern w:val="0"/>
                <w:sz w:val="28"/>
                <w:szCs w:val="28"/>
                <w:highlight w:val="none"/>
              </w:rPr>
              <w:t>汽车维修工</w:t>
            </w:r>
          </w:p>
        </w:tc>
        <w:tc>
          <w:tcPr>
            <w:tcW w:w="1575" w:type="dxa"/>
            <w:vAlign w:val="center"/>
          </w:tcPr>
          <w:p w14:paraId="3D9D6C7B">
            <w:pPr>
              <w:widowControl/>
              <w:spacing w:line="360" w:lineRule="auto"/>
              <w:jc w:val="center"/>
              <w:rPr>
                <w:rFonts w:hint="eastAsia" w:ascii="仿宋" w:hAnsi="仿宋" w:eastAsia="仿宋" w:cs="仿宋"/>
                <w:b w:val="0"/>
                <w:bCs w:val="0"/>
                <w:color w:val="auto"/>
                <w:kern w:val="0"/>
                <w:sz w:val="28"/>
                <w:szCs w:val="28"/>
                <w:highlight w:val="none"/>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rPr>
              <w:t>四</w:t>
            </w:r>
          </w:p>
        </w:tc>
        <w:tc>
          <w:tcPr>
            <w:tcW w:w="2742" w:type="dxa"/>
            <w:vAlign w:val="center"/>
          </w:tcPr>
          <w:p w14:paraId="155D4D66">
            <w:pPr>
              <w:widowControl/>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国家职业技能标准</w:t>
            </w:r>
          </w:p>
          <w:p w14:paraId="4E5165BD">
            <w:pPr>
              <w:widowControl/>
              <w:spacing w:line="360" w:lineRule="auto"/>
              <w:jc w:val="center"/>
              <w:rPr>
                <w:rFonts w:hint="eastAsia" w:ascii="仿宋" w:hAnsi="仿宋" w:eastAsia="仿宋" w:cs="仿宋"/>
                <w:b w:val="0"/>
                <w:bCs w:val="0"/>
                <w:color w:val="auto"/>
                <w:kern w:val="0"/>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2018年版</w:t>
            </w:r>
            <w:r>
              <w:rPr>
                <w:rFonts w:hint="eastAsia" w:ascii="仿宋" w:hAnsi="仿宋" w:eastAsia="仿宋" w:cs="仿宋"/>
                <w:b w:val="0"/>
                <w:bCs w:val="0"/>
                <w:color w:val="auto"/>
                <w:sz w:val="28"/>
                <w:szCs w:val="28"/>
                <w:highlight w:val="none"/>
                <w:lang w:eastAsia="zh-CN"/>
              </w:rPr>
              <w:t>）</w:t>
            </w:r>
          </w:p>
        </w:tc>
      </w:tr>
    </w:tbl>
    <w:p w14:paraId="117E0C87">
      <w:pPr>
        <w:widowControl/>
        <w:spacing w:line="360" w:lineRule="auto"/>
        <w:ind w:firstLine="643" w:firstLineChars="200"/>
        <w:rPr>
          <w:rFonts w:hint="eastAsia" w:ascii="黑体" w:hAnsi="黑体" w:eastAsia="黑体" w:cs="黑体"/>
          <w:b/>
          <w:bCs/>
          <w:color w:val="auto"/>
          <w:kern w:val="0"/>
          <w:sz w:val="32"/>
          <w:szCs w:val="32"/>
          <w:highlight w:val="none"/>
          <w:lang w:eastAsia="zh-CN"/>
        </w:rPr>
      </w:pPr>
      <w:r>
        <w:rPr>
          <w:rFonts w:hint="eastAsia" w:ascii="黑体" w:hAnsi="黑体" w:eastAsia="黑体" w:cs="黑体"/>
          <w:b/>
          <w:bCs/>
          <w:color w:val="auto"/>
          <w:kern w:val="0"/>
          <w:sz w:val="32"/>
          <w:szCs w:val="32"/>
          <w:highlight w:val="none"/>
          <w:lang w:val="en-US" w:eastAsia="zh-CN"/>
        </w:rPr>
        <w:t>二、</w:t>
      </w:r>
      <w:r>
        <w:rPr>
          <w:rFonts w:hint="eastAsia" w:ascii="黑体" w:hAnsi="黑体" w:eastAsia="黑体" w:cs="黑体"/>
          <w:b/>
          <w:bCs/>
          <w:color w:val="auto"/>
          <w:kern w:val="0"/>
          <w:sz w:val="32"/>
          <w:szCs w:val="32"/>
          <w:highlight w:val="none"/>
        </w:rPr>
        <w:t>报考</w:t>
      </w:r>
      <w:r>
        <w:rPr>
          <w:rFonts w:hint="eastAsia" w:ascii="黑体" w:hAnsi="黑体" w:eastAsia="黑体" w:cs="黑体"/>
          <w:b/>
          <w:bCs/>
          <w:color w:val="auto"/>
          <w:kern w:val="0"/>
          <w:sz w:val="32"/>
          <w:szCs w:val="32"/>
          <w:highlight w:val="none"/>
          <w:lang w:val="en-US" w:eastAsia="zh-CN"/>
        </w:rPr>
        <w:t>对象</w:t>
      </w:r>
    </w:p>
    <w:p w14:paraId="3ED3DB4A">
      <w:pPr>
        <w:widowControl/>
        <w:spacing w:line="360" w:lineRule="auto"/>
        <w:ind w:firstLine="640" w:firstLineChars="200"/>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吉林省工程技师学院在籍三年级学生。</w:t>
      </w:r>
    </w:p>
    <w:p w14:paraId="6A5AF287">
      <w:pPr>
        <w:widowControl/>
        <w:spacing w:line="360" w:lineRule="auto"/>
        <w:ind w:firstLine="640" w:firstLineChars="200"/>
        <w:rPr>
          <w:rFonts w:hint="eastAsia" w:ascii="仿宋" w:hAnsi="仿宋" w:eastAsia="仿宋" w:cs="仿宋"/>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三、申报条件</w:t>
      </w:r>
      <w:r>
        <w:rPr>
          <w:rFonts w:hint="eastAsia" w:ascii="仿宋" w:hAnsi="仿宋" w:eastAsia="仿宋" w:cs="仿宋"/>
          <w:b w:val="0"/>
          <w:bCs w:val="0"/>
          <w:color w:val="auto"/>
          <w:kern w:val="0"/>
          <w:sz w:val="32"/>
          <w:szCs w:val="32"/>
          <w:highlight w:val="none"/>
          <w:lang w:val="en-US" w:eastAsia="zh-CN"/>
        </w:rPr>
        <w:t xml:space="preserve"> </w:t>
      </w:r>
    </w:p>
    <w:p w14:paraId="7BB9C099">
      <w:pPr>
        <w:widowControl/>
        <w:spacing w:line="360" w:lineRule="auto"/>
        <w:ind w:firstLine="640" w:firstLineChars="200"/>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 xml:space="preserve">——具备以下条件之一者，可申报四级/中级工： </w:t>
      </w:r>
    </w:p>
    <w:p w14:paraId="67B5CB60">
      <w:pPr>
        <w:widowControl/>
        <w:spacing w:line="360" w:lineRule="auto"/>
        <w:ind w:firstLine="640" w:firstLineChars="200"/>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 xml:space="preserve">（1）取得本职业五级/初级工职业资格证书（技能等级证书）后，累计从事本职业工作4年（含）以上。 </w:t>
      </w:r>
    </w:p>
    <w:p w14:paraId="3E91827A">
      <w:pPr>
        <w:widowControl/>
        <w:spacing w:line="360" w:lineRule="auto"/>
        <w:ind w:firstLine="640" w:firstLineChars="200"/>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 xml:space="preserve">（2）累计从事本职业工作6年（含）以上。 </w:t>
      </w:r>
    </w:p>
    <w:p w14:paraId="39F9DDBD">
      <w:pPr>
        <w:widowControl/>
        <w:spacing w:line="360" w:lineRule="auto"/>
        <w:ind w:firstLine="640" w:firstLineChars="200"/>
        <w:rPr>
          <w:rFonts w:hint="default"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3）取得技工学校本专业或相关专业中毕业证书（含尚未取得毕业证书的在校应届毕业生）；或取得经评估论证、以中级技能为培养目标的中等及以上职业学校本专业或相关专业毕业证书（含尚未取得毕业证书的在校应届毕业生）。</w:t>
      </w:r>
    </w:p>
    <w:p w14:paraId="6CC7AE94">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val="en-US" w:eastAsia="zh-CN"/>
        </w:rPr>
        <w:t>四</w:t>
      </w:r>
      <w:r>
        <w:rPr>
          <w:rFonts w:hint="eastAsia" w:ascii="黑体" w:hAnsi="黑体" w:eastAsia="黑体" w:cs="黑体"/>
          <w:b/>
          <w:bCs/>
          <w:color w:val="auto"/>
          <w:sz w:val="32"/>
          <w:szCs w:val="32"/>
          <w:highlight w:val="none"/>
          <w:lang w:eastAsia="zh-CN"/>
        </w:rPr>
        <w:t>、</w:t>
      </w:r>
      <w:r>
        <w:rPr>
          <w:rFonts w:hint="eastAsia" w:ascii="黑体" w:hAnsi="黑体" w:eastAsia="黑体" w:cs="黑体"/>
          <w:b/>
          <w:bCs/>
          <w:color w:val="auto"/>
          <w:sz w:val="32"/>
          <w:szCs w:val="32"/>
          <w:highlight w:val="none"/>
        </w:rPr>
        <w:t>报名</w:t>
      </w:r>
      <w:r>
        <w:rPr>
          <w:rFonts w:hint="eastAsia" w:ascii="黑体" w:hAnsi="黑体" w:eastAsia="黑体" w:cs="黑体"/>
          <w:b/>
          <w:bCs/>
          <w:color w:val="auto"/>
          <w:sz w:val="32"/>
          <w:szCs w:val="32"/>
          <w:highlight w:val="none"/>
          <w:lang w:eastAsia="zh-CN"/>
        </w:rPr>
        <w:t>流程</w:t>
      </w:r>
    </w:p>
    <w:p w14:paraId="4709EE4E">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default"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（一）报名材料</w:t>
      </w:r>
    </w:p>
    <w:p w14:paraId="6046A94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
          <w:b w:val="0"/>
          <w:bCs w:val="0"/>
          <w:color w:val="auto"/>
          <w:kern w:val="0"/>
          <w:sz w:val="32"/>
          <w:szCs w:val="32"/>
          <w:highlight w:val="none"/>
          <w:lang w:val="en-US"/>
        </w:rPr>
      </w:pPr>
      <w:r>
        <w:rPr>
          <w:rFonts w:hint="eastAsia" w:ascii="仿宋" w:hAnsi="仿宋" w:eastAsia="仿宋" w:cs="仿宋"/>
          <w:b w:val="0"/>
          <w:bCs w:val="0"/>
          <w:color w:val="auto"/>
          <w:kern w:val="0"/>
          <w:sz w:val="32"/>
          <w:szCs w:val="32"/>
          <w:highlight w:val="none"/>
          <w:lang w:val="en-US" w:eastAsia="zh-CN"/>
        </w:rPr>
        <w:t>1.</w:t>
      </w:r>
      <w:r>
        <w:rPr>
          <w:rFonts w:hint="eastAsia" w:ascii="仿宋" w:hAnsi="仿宋" w:eastAsia="仿宋" w:cs="仿宋"/>
          <w:color w:val="auto"/>
          <w:kern w:val="0"/>
          <w:sz w:val="32"/>
          <w:szCs w:val="32"/>
          <w:highlight w:val="none"/>
        </w:rPr>
        <w:t>报考人员</w:t>
      </w:r>
      <w:r>
        <w:rPr>
          <w:rFonts w:hint="eastAsia" w:ascii="仿宋" w:hAnsi="仿宋" w:eastAsia="仿宋" w:cs="仿宋"/>
          <w:b w:val="0"/>
          <w:bCs w:val="0"/>
          <w:color w:val="auto"/>
          <w:kern w:val="0"/>
          <w:sz w:val="32"/>
          <w:szCs w:val="32"/>
          <w:highlight w:val="none"/>
        </w:rPr>
        <w:t>填写</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lang w:val="en-US" w:eastAsia="zh-CN"/>
        </w:rPr>
        <w:t>职业技能等级认定申报</w:t>
      </w:r>
      <w:r>
        <w:rPr>
          <w:rFonts w:hint="eastAsia" w:ascii="仿宋" w:hAnsi="仿宋" w:eastAsia="仿宋" w:cs="仿宋"/>
          <w:b w:val="0"/>
          <w:bCs w:val="0"/>
          <w:color w:val="auto"/>
          <w:kern w:val="0"/>
          <w:sz w:val="32"/>
          <w:szCs w:val="32"/>
          <w:highlight w:val="none"/>
          <w:lang w:eastAsia="zh-CN"/>
        </w:rPr>
        <w:t>表》，</w:t>
      </w:r>
      <w:r>
        <w:rPr>
          <w:rFonts w:hint="eastAsia" w:ascii="仿宋" w:hAnsi="仿宋" w:eastAsia="仿宋" w:cs="仿宋"/>
          <w:b w:val="0"/>
          <w:bCs w:val="0"/>
          <w:color w:val="auto"/>
          <w:kern w:val="0"/>
          <w:sz w:val="32"/>
          <w:szCs w:val="32"/>
          <w:highlight w:val="none"/>
          <w:lang w:val="en-US" w:eastAsia="zh-CN"/>
        </w:rPr>
        <w:t>一式两份</w:t>
      </w:r>
      <w:r>
        <w:rPr>
          <w:rFonts w:hint="eastAsia" w:ascii="仿宋" w:hAnsi="仿宋" w:eastAsia="仿宋" w:cs="仿宋"/>
          <w:color w:val="auto"/>
          <w:kern w:val="0"/>
          <w:sz w:val="32"/>
          <w:szCs w:val="32"/>
          <w:highlight w:val="none"/>
        </w:rPr>
        <w:t>提交</w:t>
      </w:r>
      <w:r>
        <w:rPr>
          <w:rFonts w:hint="eastAsia" w:ascii="仿宋" w:hAnsi="仿宋" w:eastAsia="仿宋" w:cs="仿宋"/>
          <w:color w:val="auto"/>
          <w:kern w:val="0"/>
          <w:sz w:val="32"/>
          <w:szCs w:val="32"/>
          <w:highlight w:val="none"/>
          <w:lang w:val="en-US" w:eastAsia="zh-CN"/>
        </w:rPr>
        <w:t>认定中心</w:t>
      </w:r>
      <w:r>
        <w:rPr>
          <w:rFonts w:hint="eastAsia" w:ascii="仿宋" w:hAnsi="仿宋" w:eastAsia="仿宋" w:cs="仿宋"/>
          <w:color w:val="auto"/>
          <w:kern w:val="0"/>
          <w:sz w:val="32"/>
          <w:szCs w:val="32"/>
          <w:highlight w:val="none"/>
        </w:rPr>
        <w:t>审核</w:t>
      </w:r>
      <w:r>
        <w:rPr>
          <w:rFonts w:hint="eastAsia" w:ascii="仿宋" w:hAnsi="仿宋" w:eastAsia="仿宋" w:cs="仿宋"/>
          <w:b w:val="0"/>
          <w:bCs w:val="0"/>
          <w:color w:val="auto"/>
          <w:kern w:val="0"/>
          <w:sz w:val="32"/>
          <w:szCs w:val="32"/>
          <w:highlight w:val="none"/>
          <w:lang w:val="en-US" w:eastAsia="zh-CN"/>
        </w:rPr>
        <w:t>。</w:t>
      </w:r>
    </w:p>
    <w:p w14:paraId="4950050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left"/>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2.</w:t>
      </w:r>
      <w:r>
        <w:rPr>
          <w:rFonts w:hint="eastAsia" w:ascii="仿宋" w:hAnsi="仿宋" w:eastAsia="仿宋" w:cs="仿宋"/>
          <w:color w:val="auto"/>
          <w:kern w:val="0"/>
          <w:sz w:val="32"/>
          <w:szCs w:val="32"/>
          <w:highlight w:val="none"/>
        </w:rPr>
        <w:t>身份证（正反两面）</w:t>
      </w:r>
      <w:r>
        <w:rPr>
          <w:rFonts w:hint="eastAsia" w:ascii="仿宋" w:hAnsi="仿宋" w:eastAsia="仿宋" w:cs="仿宋"/>
          <w:color w:val="auto"/>
          <w:kern w:val="0"/>
          <w:sz w:val="32"/>
          <w:szCs w:val="32"/>
          <w:highlight w:val="none"/>
          <w:lang w:val="en-US" w:eastAsia="zh-CN"/>
        </w:rPr>
        <w:t>复印件。</w:t>
      </w:r>
    </w:p>
    <w:p w14:paraId="1EB1075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left"/>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3.学生校卡复印件。</w:t>
      </w:r>
    </w:p>
    <w:p w14:paraId="158B470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left"/>
        <w:textAlignment w:val="auto"/>
        <w:outlineLvl w:val="9"/>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lang w:eastAsia="zh-CN"/>
        </w:rPr>
        <w:t>近半年内彩色照片</w:t>
      </w:r>
      <w:r>
        <w:rPr>
          <w:rFonts w:hint="eastAsia" w:ascii="仿宋" w:hAnsi="仿宋" w:eastAsia="仿宋" w:cs="仿宋"/>
          <w:color w:val="auto"/>
          <w:kern w:val="0"/>
          <w:sz w:val="32"/>
          <w:szCs w:val="32"/>
          <w:highlight w:val="none"/>
          <w:lang w:val="en-US" w:eastAsia="zh-CN"/>
        </w:rPr>
        <w:t>电子版</w:t>
      </w:r>
      <w:r>
        <w:rPr>
          <w:rFonts w:hint="eastAsia" w:ascii="仿宋" w:hAnsi="仿宋" w:eastAsia="仿宋" w:cs="仿宋"/>
          <w:color w:val="auto"/>
          <w:kern w:val="0"/>
          <w:sz w:val="32"/>
          <w:szCs w:val="32"/>
          <w:highlight w:val="none"/>
        </w:rPr>
        <w:t>（白底、小二寸，电子版照片不得超过30KB）</w:t>
      </w:r>
      <w:r>
        <w:rPr>
          <w:rFonts w:hint="eastAsia" w:ascii="仿宋" w:hAnsi="仿宋" w:eastAsia="仿宋" w:cs="仿宋"/>
          <w:color w:val="auto"/>
          <w:kern w:val="0"/>
          <w:sz w:val="32"/>
          <w:szCs w:val="32"/>
          <w:highlight w:val="none"/>
          <w:lang w:eastAsia="zh-CN"/>
        </w:rPr>
        <w:t>。</w:t>
      </w:r>
    </w:p>
    <w:p w14:paraId="0E95E37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5.</w:t>
      </w:r>
      <w:r>
        <w:rPr>
          <w:rFonts w:hint="eastAsia" w:ascii="仿宋" w:hAnsi="仿宋" w:eastAsia="仿宋" w:cs="仿宋"/>
          <w:b w:val="0"/>
          <w:bCs w:val="0"/>
          <w:color w:val="auto"/>
          <w:kern w:val="0"/>
          <w:sz w:val="32"/>
          <w:szCs w:val="32"/>
          <w:highlight w:val="none"/>
          <w:lang w:eastAsia="zh-CN"/>
        </w:rPr>
        <w:t>报名资料受理</w:t>
      </w:r>
      <w:r>
        <w:rPr>
          <w:rFonts w:hint="eastAsia" w:ascii="仿宋" w:hAnsi="仿宋" w:eastAsia="仿宋" w:cs="仿宋"/>
          <w:b w:val="0"/>
          <w:bCs w:val="0"/>
          <w:color w:val="auto"/>
          <w:kern w:val="0"/>
          <w:sz w:val="32"/>
          <w:szCs w:val="32"/>
          <w:highlight w:val="none"/>
          <w:lang w:val="en-US" w:eastAsia="zh-CN"/>
        </w:rPr>
        <w:t>截止</w:t>
      </w:r>
      <w:r>
        <w:rPr>
          <w:rFonts w:hint="eastAsia" w:ascii="仿宋" w:hAnsi="仿宋" w:eastAsia="仿宋" w:cs="仿宋"/>
          <w:b w:val="0"/>
          <w:bCs w:val="0"/>
          <w:color w:val="auto"/>
          <w:kern w:val="0"/>
          <w:sz w:val="32"/>
          <w:szCs w:val="32"/>
          <w:highlight w:val="none"/>
          <w:lang w:eastAsia="zh-CN"/>
        </w:rPr>
        <w:t>时间</w:t>
      </w:r>
      <w:r>
        <w:rPr>
          <w:rFonts w:hint="eastAsia" w:ascii="仿宋" w:hAnsi="仿宋" w:eastAsia="仿宋" w:cs="仿宋"/>
          <w:b w:val="0"/>
          <w:bCs w:val="0"/>
          <w:color w:val="auto"/>
          <w:kern w:val="0"/>
          <w:sz w:val="32"/>
          <w:szCs w:val="32"/>
          <w:highlight w:val="none"/>
          <w:lang w:val="en-US" w:eastAsia="zh-CN"/>
        </w:rPr>
        <w:t>2024年11月6</w:t>
      </w:r>
      <w:bookmarkStart w:id="0" w:name="_GoBack"/>
      <w:bookmarkEnd w:id="0"/>
      <w:r>
        <w:rPr>
          <w:rFonts w:hint="eastAsia" w:ascii="仿宋" w:hAnsi="仿宋" w:eastAsia="仿宋" w:cs="仿宋"/>
          <w:b w:val="0"/>
          <w:bCs w:val="0"/>
          <w:color w:val="auto"/>
          <w:kern w:val="0"/>
          <w:sz w:val="32"/>
          <w:szCs w:val="32"/>
          <w:highlight w:val="none"/>
          <w:lang w:val="en-US" w:eastAsia="zh-CN"/>
        </w:rPr>
        <w:t>日16:00时。</w:t>
      </w:r>
    </w:p>
    <w:p w14:paraId="32CBCE6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（二）报名资格审核</w:t>
      </w:r>
    </w:p>
    <w:p w14:paraId="163939C7">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吉林省工程技师学院职业技能等级认定中心将在3个工作日内按相应工种《国家职业技能标准》报名条件进行审核，并及时向考生反馈审核结果。</w:t>
      </w:r>
    </w:p>
    <w:p w14:paraId="18F535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84" w:firstLineChars="213"/>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bCs/>
          <w:color w:val="auto"/>
          <w:sz w:val="32"/>
          <w:szCs w:val="32"/>
          <w:highlight w:val="none"/>
          <w:lang w:val="en-US" w:eastAsia="zh-CN"/>
        </w:rPr>
        <w:t>五</w:t>
      </w:r>
      <w:r>
        <w:rPr>
          <w:rFonts w:hint="eastAsia" w:ascii="黑体" w:hAnsi="黑体" w:eastAsia="黑体" w:cs="黑体"/>
          <w:b/>
          <w:bCs/>
          <w:color w:val="auto"/>
          <w:sz w:val="32"/>
          <w:szCs w:val="32"/>
          <w:highlight w:val="none"/>
        </w:rPr>
        <w:t>、报名地点及联系人 </w:t>
      </w:r>
      <w:r>
        <w:rPr>
          <w:rFonts w:hint="eastAsia" w:ascii="黑体" w:hAnsi="黑体" w:eastAsia="黑体" w:cs="黑体"/>
          <w:b w:val="0"/>
          <w:bCs w:val="0"/>
          <w:color w:val="auto"/>
          <w:sz w:val="32"/>
          <w:szCs w:val="32"/>
          <w:highlight w:val="none"/>
        </w:rPr>
        <w:t> </w:t>
      </w:r>
    </w:p>
    <w:p w14:paraId="48EFA0B6">
      <w:pPr>
        <w:keepNext w:val="0"/>
        <w:keepLines w:val="0"/>
        <w:pageBreakBefore w:val="0"/>
        <w:kinsoku/>
        <w:wordWrap/>
        <w:overflowPunct/>
        <w:topLinePunct w:val="0"/>
        <w:autoSpaceDE/>
        <w:autoSpaceDN/>
        <w:bidi w:val="0"/>
        <w:adjustRightInd/>
        <w:snapToGrid/>
        <w:spacing w:line="360" w:lineRule="auto"/>
        <w:ind w:left="0" w:leftChars="0" w:firstLine="681" w:firstLineChars="213"/>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地点：吉林省工程技师学院认定中心考务</w:t>
      </w:r>
      <w:r>
        <w:rPr>
          <w:rFonts w:hint="eastAsia" w:ascii="仿宋" w:hAnsi="仿宋" w:eastAsia="仿宋" w:cs="仿宋"/>
          <w:color w:val="auto"/>
          <w:kern w:val="0"/>
          <w:sz w:val="32"/>
          <w:szCs w:val="32"/>
          <w:highlight w:val="none"/>
        </w:rPr>
        <w:t xml:space="preserve">办公室 </w:t>
      </w:r>
    </w:p>
    <w:p w14:paraId="3E5CC5A7">
      <w:pPr>
        <w:keepNext w:val="0"/>
        <w:keepLines w:val="0"/>
        <w:pageBreakBefore w:val="0"/>
        <w:kinsoku/>
        <w:wordWrap/>
        <w:overflowPunct/>
        <w:topLinePunct w:val="0"/>
        <w:autoSpaceDE/>
        <w:autoSpaceDN/>
        <w:bidi w:val="0"/>
        <w:adjustRightInd/>
        <w:snapToGrid/>
        <w:spacing w:line="360" w:lineRule="auto"/>
        <w:ind w:left="0" w:leftChars="0" w:firstLine="681" w:firstLineChars="213"/>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联系人：何平 </w:t>
      </w: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32"/>
          <w:szCs w:val="32"/>
          <w:highlight w:val="none"/>
          <w:lang w:val="en-US" w:eastAsia="zh-CN"/>
        </w:rPr>
        <w:t>0439-5026175</w:t>
      </w:r>
    </w:p>
    <w:p w14:paraId="7BB1DCED">
      <w:pPr>
        <w:widowControl/>
        <w:spacing w:line="360" w:lineRule="auto"/>
        <w:ind w:left="0" w:leftChars="0" w:firstLine="681" w:firstLineChars="213"/>
        <w:rPr>
          <w:rFonts w:hint="eastAsia" w:ascii="黑体" w:hAnsi="黑体" w:eastAsia="黑体" w:cs="黑体"/>
          <w:b/>
          <w:bCs/>
          <w:color w:val="auto"/>
          <w:kern w:val="0"/>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bCs/>
          <w:color w:val="auto"/>
          <w:kern w:val="0"/>
          <w:sz w:val="32"/>
          <w:szCs w:val="32"/>
          <w:highlight w:val="none"/>
        </w:rPr>
        <w:t>报考时间安排</w:t>
      </w:r>
    </w:p>
    <w:tbl>
      <w:tblPr>
        <w:tblStyle w:val="6"/>
        <w:tblpPr w:leftFromText="180" w:rightFromText="180" w:vertAnchor="text" w:horzAnchor="margin" w:tblpX="1275" w:tblpY="185"/>
        <w:tblW w:w="6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gridCol w:w="3767"/>
      </w:tblGrid>
      <w:tr w14:paraId="02FA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28" w:type="dxa"/>
            <w:vAlign w:val="center"/>
          </w:tcPr>
          <w:p w14:paraId="69E15D52">
            <w:pPr>
              <w:widowControl/>
              <w:spacing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报名时间</w:t>
            </w:r>
          </w:p>
        </w:tc>
        <w:tc>
          <w:tcPr>
            <w:tcW w:w="3767" w:type="dxa"/>
            <w:vAlign w:val="center"/>
          </w:tcPr>
          <w:p w14:paraId="62928EC5">
            <w:pPr>
              <w:widowControl/>
              <w:spacing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日</w:t>
            </w:r>
          </w:p>
        </w:tc>
      </w:tr>
      <w:tr w14:paraId="49DD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28" w:type="dxa"/>
            <w:vAlign w:val="center"/>
          </w:tcPr>
          <w:p w14:paraId="2086EC4F">
            <w:pPr>
              <w:widowControl/>
              <w:spacing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审核时间</w:t>
            </w:r>
          </w:p>
        </w:tc>
        <w:tc>
          <w:tcPr>
            <w:tcW w:w="3767" w:type="dxa"/>
            <w:vAlign w:val="center"/>
          </w:tcPr>
          <w:p w14:paraId="5B3C1CF7">
            <w:pPr>
              <w:widowControl/>
              <w:spacing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13</w:t>
            </w:r>
            <w:r>
              <w:rPr>
                <w:rFonts w:hint="eastAsia" w:ascii="仿宋" w:hAnsi="仿宋" w:eastAsia="仿宋" w:cs="仿宋"/>
                <w:color w:val="auto"/>
                <w:kern w:val="0"/>
                <w:sz w:val="32"/>
                <w:szCs w:val="32"/>
                <w:highlight w:val="none"/>
              </w:rPr>
              <w:t>日</w:t>
            </w:r>
          </w:p>
        </w:tc>
      </w:tr>
      <w:tr w14:paraId="0A2F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28" w:type="dxa"/>
            <w:vAlign w:val="center"/>
          </w:tcPr>
          <w:p w14:paraId="132246DA">
            <w:pPr>
              <w:widowControl/>
              <w:spacing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准考证发放时间</w:t>
            </w:r>
          </w:p>
        </w:tc>
        <w:tc>
          <w:tcPr>
            <w:tcW w:w="3767" w:type="dxa"/>
            <w:vAlign w:val="center"/>
          </w:tcPr>
          <w:p w14:paraId="4F3130FA">
            <w:pPr>
              <w:widowControl/>
              <w:spacing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22</w:t>
            </w:r>
            <w:r>
              <w:rPr>
                <w:rFonts w:hint="eastAsia" w:ascii="仿宋" w:hAnsi="仿宋" w:eastAsia="仿宋" w:cs="仿宋"/>
                <w:color w:val="auto"/>
                <w:kern w:val="0"/>
                <w:sz w:val="32"/>
                <w:szCs w:val="32"/>
                <w:highlight w:val="none"/>
              </w:rPr>
              <w:t>日</w:t>
            </w:r>
          </w:p>
        </w:tc>
      </w:tr>
      <w:tr w14:paraId="2D7B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28" w:type="dxa"/>
            <w:vAlign w:val="center"/>
          </w:tcPr>
          <w:p w14:paraId="054E73B8">
            <w:pPr>
              <w:widowControl/>
              <w:spacing w:line="360" w:lineRule="auto"/>
              <w:jc w:val="center"/>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rPr>
              <w:t>考试时间</w:t>
            </w:r>
          </w:p>
        </w:tc>
        <w:tc>
          <w:tcPr>
            <w:tcW w:w="3767" w:type="dxa"/>
            <w:vAlign w:val="center"/>
          </w:tcPr>
          <w:p w14:paraId="1425777F">
            <w:pPr>
              <w:widowControl/>
              <w:spacing w:line="360" w:lineRule="auto"/>
              <w:jc w:val="center"/>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rPr>
              <w:t>11</w:t>
            </w:r>
            <w:r>
              <w:rPr>
                <w:rFonts w:hint="eastAsia" w:ascii="仿宋" w:hAnsi="仿宋" w:eastAsia="仿宋" w:cs="仿宋"/>
                <w:b w:val="0"/>
                <w:bCs w:val="0"/>
                <w:color w:val="auto"/>
                <w:kern w:val="0"/>
                <w:sz w:val="32"/>
                <w:szCs w:val="32"/>
                <w:highlight w:val="none"/>
              </w:rPr>
              <w:t>月</w:t>
            </w:r>
            <w:r>
              <w:rPr>
                <w:rFonts w:hint="eastAsia" w:ascii="仿宋" w:hAnsi="仿宋" w:eastAsia="仿宋" w:cs="仿宋"/>
                <w:b w:val="0"/>
                <w:bCs w:val="0"/>
                <w:color w:val="auto"/>
                <w:kern w:val="0"/>
                <w:sz w:val="32"/>
                <w:szCs w:val="32"/>
                <w:highlight w:val="none"/>
                <w:lang w:val="en-US" w:eastAsia="zh-CN"/>
              </w:rPr>
              <w:t>27日、28日</w:t>
            </w:r>
          </w:p>
        </w:tc>
      </w:tr>
    </w:tbl>
    <w:p w14:paraId="7A178660">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firstLine="233" w:firstLineChars="73"/>
        <w:textAlignment w:val="auto"/>
        <w:rPr>
          <w:rFonts w:hint="default" w:ascii="黑体" w:hAnsi="黑体" w:eastAsia="黑体" w:cs="黑体"/>
          <w:b w:val="0"/>
          <w:bCs w:val="0"/>
          <w:color w:val="auto"/>
          <w:sz w:val="32"/>
          <w:szCs w:val="32"/>
          <w:highlight w:val="none"/>
          <w:lang w:val="en-US" w:eastAsia="zh-CN"/>
        </w:rPr>
      </w:pPr>
    </w:p>
    <w:p w14:paraId="0A8781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auto"/>
          <w:kern w:val="0"/>
          <w:sz w:val="32"/>
          <w:szCs w:val="32"/>
          <w:highlight w:val="none"/>
          <w:lang w:eastAsia="zh-CN"/>
        </w:rPr>
      </w:pPr>
    </w:p>
    <w:p w14:paraId="4E9FA83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auto"/>
          <w:kern w:val="0"/>
          <w:sz w:val="32"/>
          <w:szCs w:val="32"/>
          <w:highlight w:val="none"/>
          <w:lang w:eastAsia="zh-CN"/>
        </w:rPr>
      </w:pPr>
    </w:p>
    <w:p w14:paraId="35CF6406">
      <w:pPr>
        <w:widowControl/>
        <w:spacing w:line="360" w:lineRule="auto"/>
        <w:ind w:firstLine="643" w:firstLineChars="200"/>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七、认定考试申报要求</w:t>
      </w:r>
    </w:p>
    <w:p w14:paraId="528FBBE5">
      <w:pPr>
        <w:widowControl/>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报考人员对本人提交的报考信息及材料真实性、有效性负责。如提交虚假信息、材料的，一经发现，将取消报考资格；已参加考试且成绩合格的，取消成绩，不给予发放证书；取得相应证书的，宣布证书无效，收回证书。情节严重者，按有关规定处理。</w:t>
      </w:r>
    </w:p>
    <w:p w14:paraId="39621326">
      <w:pPr>
        <w:widowControl/>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2.报考人员应在规定时间凭本人有效居民身份证和准考证参加考试（根据报考人数设置考区，考试地点</w:t>
      </w:r>
      <w:r>
        <w:rPr>
          <w:rFonts w:hint="eastAsia" w:ascii="仿宋" w:hAnsi="仿宋" w:eastAsia="仿宋" w:cs="仿宋"/>
          <w:color w:val="auto"/>
          <w:kern w:val="0"/>
          <w:sz w:val="32"/>
          <w:szCs w:val="32"/>
          <w:highlight w:val="none"/>
          <w:lang w:val="en-US" w:eastAsia="zh-CN"/>
        </w:rPr>
        <w:t>及时间安排</w:t>
      </w:r>
      <w:r>
        <w:rPr>
          <w:rFonts w:hint="eastAsia" w:ascii="仿宋" w:hAnsi="仿宋" w:eastAsia="仿宋" w:cs="仿宋"/>
          <w:color w:val="auto"/>
          <w:kern w:val="0"/>
          <w:sz w:val="32"/>
          <w:szCs w:val="32"/>
          <w:highlight w:val="none"/>
        </w:rPr>
        <w:t>以准考证为准，报考视为同意接受考务安排）。 </w:t>
      </w:r>
    </w:p>
    <w:p w14:paraId="1AFD11A3">
      <w:pPr>
        <w:ind w:left="0" w:leftChars="0" w:firstLine="643" w:firstLineChars="200"/>
        <w:rPr>
          <w:rFonts w:hint="eastAsia"/>
          <w:sz w:val="32"/>
          <w:szCs w:val="32"/>
          <w:lang w:val="en-US" w:eastAsia="zh-CN"/>
        </w:rPr>
      </w:pPr>
      <w:r>
        <w:rPr>
          <w:rFonts w:hint="eastAsia" w:ascii="黑体" w:hAnsi="黑体" w:eastAsia="黑体" w:cs="黑体"/>
          <w:b/>
          <w:bCs/>
          <w:color w:val="auto"/>
          <w:kern w:val="0"/>
          <w:sz w:val="32"/>
          <w:szCs w:val="32"/>
          <w:highlight w:val="none"/>
          <w:lang w:val="en-US" w:eastAsia="zh-CN"/>
        </w:rPr>
        <w:t>八、认定方式</w:t>
      </w:r>
    </w:p>
    <w:p w14:paraId="36DC4923">
      <w:pPr>
        <w:widowControl/>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由理论知识考试和技能操作考核两部分组成。理论知识考试采用闭卷笔试形式，技能操作考核采用现场实际操作方式。理论知识考试和技能操作考核均实行百分制，成绩皆达60分以上者为合格。</w:t>
      </w:r>
    </w:p>
    <w:p w14:paraId="2D0B4707">
      <w:pPr>
        <w:widowControl/>
        <w:spacing w:line="360" w:lineRule="auto"/>
        <w:ind w:firstLine="640" w:firstLineChars="200"/>
        <w:rPr>
          <w:rFonts w:hint="default" w:ascii="仿宋" w:hAnsi="仿宋" w:eastAsia="仿宋" w:cs="仿宋"/>
          <w:color w:val="auto"/>
          <w:kern w:val="0"/>
          <w:sz w:val="32"/>
          <w:szCs w:val="32"/>
          <w:highlight w:val="none"/>
          <w:lang w:val="en-US" w:eastAsia="zh-CN"/>
        </w:rPr>
      </w:pPr>
    </w:p>
    <w:p w14:paraId="3CC4E378">
      <w:pPr>
        <w:widowControl/>
        <w:spacing w:line="360" w:lineRule="auto"/>
        <w:ind w:firstLine="640" w:firstLineChars="200"/>
        <w:rPr>
          <w:rFonts w:hint="default" w:ascii="仿宋" w:hAnsi="仿宋" w:eastAsia="仿宋" w:cs="仿宋"/>
          <w:color w:val="auto"/>
          <w:kern w:val="0"/>
          <w:sz w:val="32"/>
          <w:szCs w:val="32"/>
          <w:highlight w:val="none"/>
          <w:lang w:val="en-US" w:eastAsia="zh-CN"/>
        </w:rPr>
      </w:pPr>
    </w:p>
    <w:p w14:paraId="1E411C22">
      <w:pPr>
        <w:widowControl/>
        <w:wordWrap w:val="0"/>
        <w:spacing w:line="360" w:lineRule="auto"/>
        <w:jc w:val="right"/>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t>吉林省工程技师学院职业技能等级认定中心</w:t>
      </w:r>
    </w:p>
    <w:p w14:paraId="22EB1F32">
      <w:pPr>
        <w:widowControl/>
        <w:wordWrap w:val="0"/>
        <w:spacing w:line="360" w:lineRule="auto"/>
        <w:jc w:val="right"/>
        <w:rPr>
          <w:rFonts w:hint="default" w:ascii="仿宋" w:hAnsi="仿宋" w:eastAsia="仿宋" w:cs="仿宋"/>
          <w:b/>
          <w:bCs/>
          <w:color w:val="auto"/>
          <w:kern w:val="0"/>
          <w:sz w:val="30"/>
          <w:szCs w:val="30"/>
          <w:highlight w:val="none"/>
          <w:shd w:val="clear" w:color="auto" w:fill="FFFFFF"/>
          <w:lang w:val="en-US" w:eastAsia="zh-CN"/>
        </w:rPr>
      </w:pPr>
      <w:r>
        <w:rPr>
          <w:rFonts w:hint="eastAsia" w:ascii="仿宋" w:hAnsi="仿宋" w:eastAsia="仿宋" w:cs="仿宋"/>
          <w:b/>
          <w:bCs/>
          <w:color w:val="auto"/>
          <w:kern w:val="0"/>
          <w:sz w:val="32"/>
          <w:szCs w:val="32"/>
          <w:highlight w:val="none"/>
          <w:shd w:val="clear" w:color="auto" w:fill="FFFFFF"/>
          <w:lang w:val="en-US" w:eastAsia="zh-CN"/>
        </w:rPr>
        <w:t xml:space="preserve"> </w:t>
      </w:r>
      <w:r>
        <w:rPr>
          <w:rFonts w:hint="eastAsia" w:ascii="仿宋" w:hAnsi="仿宋" w:eastAsia="仿宋" w:cs="仿宋"/>
          <w:b/>
          <w:bCs/>
          <w:color w:val="auto"/>
          <w:kern w:val="0"/>
          <w:sz w:val="32"/>
          <w:szCs w:val="32"/>
          <w:highlight w:val="none"/>
          <w:shd w:val="clear" w:color="auto" w:fill="FFFFFF"/>
        </w:rPr>
        <w:t>202</w:t>
      </w:r>
      <w:r>
        <w:rPr>
          <w:rFonts w:hint="eastAsia" w:ascii="仿宋" w:hAnsi="仿宋" w:eastAsia="仿宋" w:cs="仿宋"/>
          <w:b/>
          <w:bCs/>
          <w:color w:val="auto"/>
          <w:kern w:val="0"/>
          <w:sz w:val="32"/>
          <w:szCs w:val="32"/>
          <w:highlight w:val="none"/>
          <w:shd w:val="clear" w:color="auto" w:fill="FFFFFF"/>
          <w:lang w:val="en-US" w:eastAsia="zh-CN"/>
        </w:rPr>
        <w:t>4</w:t>
      </w:r>
      <w:r>
        <w:rPr>
          <w:rFonts w:hint="eastAsia" w:ascii="仿宋" w:hAnsi="仿宋" w:eastAsia="仿宋" w:cs="仿宋"/>
          <w:b/>
          <w:bCs/>
          <w:color w:val="auto"/>
          <w:kern w:val="0"/>
          <w:sz w:val="32"/>
          <w:szCs w:val="32"/>
          <w:highlight w:val="none"/>
          <w:shd w:val="clear" w:color="auto" w:fill="FFFFFF"/>
        </w:rPr>
        <w:t>年</w:t>
      </w:r>
      <w:r>
        <w:rPr>
          <w:rFonts w:hint="eastAsia" w:ascii="仿宋" w:hAnsi="仿宋" w:eastAsia="仿宋" w:cs="仿宋"/>
          <w:b/>
          <w:bCs/>
          <w:color w:val="auto"/>
          <w:kern w:val="0"/>
          <w:sz w:val="32"/>
          <w:szCs w:val="32"/>
          <w:highlight w:val="none"/>
          <w:shd w:val="clear" w:color="auto" w:fill="FFFFFF"/>
          <w:lang w:val="en-US" w:eastAsia="zh-CN"/>
        </w:rPr>
        <w:t>10</w:t>
      </w:r>
      <w:r>
        <w:rPr>
          <w:rFonts w:hint="eastAsia" w:ascii="仿宋" w:hAnsi="仿宋" w:eastAsia="仿宋" w:cs="仿宋"/>
          <w:b/>
          <w:bCs/>
          <w:color w:val="auto"/>
          <w:kern w:val="0"/>
          <w:sz w:val="32"/>
          <w:szCs w:val="32"/>
          <w:highlight w:val="none"/>
          <w:shd w:val="clear" w:color="auto" w:fill="FFFFFF"/>
        </w:rPr>
        <w:t>月</w:t>
      </w:r>
      <w:r>
        <w:rPr>
          <w:rFonts w:hint="eastAsia" w:ascii="仿宋" w:hAnsi="仿宋" w:eastAsia="仿宋" w:cs="仿宋"/>
          <w:b/>
          <w:bCs/>
          <w:color w:val="auto"/>
          <w:kern w:val="0"/>
          <w:sz w:val="32"/>
          <w:szCs w:val="32"/>
          <w:highlight w:val="none"/>
          <w:shd w:val="clear" w:color="auto" w:fill="FFFFFF"/>
          <w:lang w:val="en-US" w:eastAsia="zh-CN"/>
        </w:rPr>
        <w:t>29</w:t>
      </w:r>
      <w:r>
        <w:rPr>
          <w:rFonts w:hint="eastAsia" w:ascii="仿宋" w:hAnsi="仿宋" w:eastAsia="仿宋" w:cs="仿宋"/>
          <w:b/>
          <w:bCs/>
          <w:color w:val="auto"/>
          <w:kern w:val="0"/>
          <w:sz w:val="32"/>
          <w:szCs w:val="32"/>
          <w:highlight w:val="none"/>
          <w:shd w:val="clear" w:color="auto" w:fill="FFFFFF"/>
        </w:rPr>
        <w:t>日</w:t>
      </w:r>
      <w:r>
        <w:rPr>
          <w:rFonts w:hint="eastAsia" w:ascii="仿宋" w:hAnsi="仿宋" w:eastAsia="仿宋" w:cs="仿宋"/>
          <w:b/>
          <w:bCs/>
          <w:color w:val="auto"/>
          <w:kern w:val="0"/>
          <w:sz w:val="32"/>
          <w:szCs w:val="32"/>
          <w:highlight w:val="none"/>
          <w:shd w:val="clear" w:color="auto" w:fill="FFFFFF"/>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75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77A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177A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Y2Q0ZDdkNDdmZWY0MGZlZjA4Mzc4NjhkN2IwYTUifQ=="/>
  </w:docVars>
  <w:rsids>
    <w:rsidRoot w:val="00957C09"/>
    <w:rsid w:val="00055392"/>
    <w:rsid w:val="00101869"/>
    <w:rsid w:val="00104B08"/>
    <w:rsid w:val="001D1C26"/>
    <w:rsid w:val="00221E20"/>
    <w:rsid w:val="00223572"/>
    <w:rsid w:val="00240FEA"/>
    <w:rsid w:val="002613CB"/>
    <w:rsid w:val="00292747"/>
    <w:rsid w:val="002C16FC"/>
    <w:rsid w:val="002E6A1B"/>
    <w:rsid w:val="00380FDD"/>
    <w:rsid w:val="003F02AF"/>
    <w:rsid w:val="00415572"/>
    <w:rsid w:val="004265C3"/>
    <w:rsid w:val="004E5FC2"/>
    <w:rsid w:val="006021AF"/>
    <w:rsid w:val="00685A9A"/>
    <w:rsid w:val="00695B7E"/>
    <w:rsid w:val="00707E3D"/>
    <w:rsid w:val="00722F17"/>
    <w:rsid w:val="008B5E06"/>
    <w:rsid w:val="00916CCA"/>
    <w:rsid w:val="00957C09"/>
    <w:rsid w:val="00961276"/>
    <w:rsid w:val="0099679F"/>
    <w:rsid w:val="009C3CFA"/>
    <w:rsid w:val="00A5296D"/>
    <w:rsid w:val="00B66762"/>
    <w:rsid w:val="00BB012C"/>
    <w:rsid w:val="00C216F9"/>
    <w:rsid w:val="00C4065D"/>
    <w:rsid w:val="00CF066F"/>
    <w:rsid w:val="00D14C56"/>
    <w:rsid w:val="00D17A8B"/>
    <w:rsid w:val="00D6301E"/>
    <w:rsid w:val="00DC41F1"/>
    <w:rsid w:val="00E366F1"/>
    <w:rsid w:val="00E44804"/>
    <w:rsid w:val="00E45E71"/>
    <w:rsid w:val="00E90576"/>
    <w:rsid w:val="00F15E32"/>
    <w:rsid w:val="00F84181"/>
    <w:rsid w:val="00FB7D80"/>
    <w:rsid w:val="00FF7567"/>
    <w:rsid w:val="01A05FCD"/>
    <w:rsid w:val="05A30D0A"/>
    <w:rsid w:val="083809C1"/>
    <w:rsid w:val="0F1C1A05"/>
    <w:rsid w:val="174E4F74"/>
    <w:rsid w:val="17F7110B"/>
    <w:rsid w:val="19960685"/>
    <w:rsid w:val="1A352420"/>
    <w:rsid w:val="1B182912"/>
    <w:rsid w:val="1DC0240C"/>
    <w:rsid w:val="22C36BC8"/>
    <w:rsid w:val="247E2C16"/>
    <w:rsid w:val="2680391F"/>
    <w:rsid w:val="26F42554"/>
    <w:rsid w:val="279B2BA4"/>
    <w:rsid w:val="28FA1322"/>
    <w:rsid w:val="28FD69FA"/>
    <w:rsid w:val="2E0E0CDE"/>
    <w:rsid w:val="356E638F"/>
    <w:rsid w:val="3693465A"/>
    <w:rsid w:val="37A34A15"/>
    <w:rsid w:val="3C34285C"/>
    <w:rsid w:val="3D192AD3"/>
    <w:rsid w:val="3FB80979"/>
    <w:rsid w:val="475376E2"/>
    <w:rsid w:val="49871F3C"/>
    <w:rsid w:val="4D0F4047"/>
    <w:rsid w:val="534B7E1E"/>
    <w:rsid w:val="55B50C82"/>
    <w:rsid w:val="56DB4535"/>
    <w:rsid w:val="5C2D21CD"/>
    <w:rsid w:val="5D836CFA"/>
    <w:rsid w:val="62184A1A"/>
    <w:rsid w:val="667747F4"/>
    <w:rsid w:val="6BEE3329"/>
    <w:rsid w:val="6D8F4B19"/>
    <w:rsid w:val="729703AC"/>
    <w:rsid w:val="72E7334D"/>
    <w:rsid w:val="74A36E8E"/>
    <w:rsid w:val="76540906"/>
    <w:rsid w:val="768F354A"/>
    <w:rsid w:val="7A9E42AB"/>
    <w:rsid w:val="7C501659"/>
    <w:rsid w:val="7E7C2E71"/>
    <w:rsid w:val="7E855962"/>
    <w:rsid w:val="7E8C09B2"/>
    <w:rsid w:val="7ECF2504"/>
    <w:rsid w:val="7FC5755B"/>
    <w:rsid w:val="7FD371BB"/>
    <w:rsid w:val="7FFE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995</Words>
  <Characters>1055</Characters>
  <Lines>13</Lines>
  <Paragraphs>3</Paragraphs>
  <TotalTime>45</TotalTime>
  <ScaleCrop>false</ScaleCrop>
  <LinksUpToDate>false</LinksUpToDate>
  <CharactersWithSpaces>1072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2021-03-12T00:15:00Z</dcterms:created>
  <dc:creator>782726683@qq.com</dc:creator>
  <cp:lastModifiedBy>不惑之年</cp:lastModifiedBy>
  <cp:lastPrinted>2021-03-12T01:38:00Z</cp:lastPrinted>
  <dcterms:modified xsi:type="dcterms:W3CDTF">2024-10-29T01:21:48Z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94D62B7CD02D4A8FADF739D869B75CEE_13</vt:lpwstr>
  </property>
</Properties>
</file>